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B4" w:rsidRDefault="006919B4" w:rsidP="006919B4">
      <w:pPr>
        <w:jc w:val="center"/>
        <w:rPr>
          <w:b/>
        </w:rPr>
      </w:pPr>
      <w:bookmarkStart w:id="0" w:name="_GoBack"/>
      <w:bookmarkEnd w:id="0"/>
    </w:p>
    <w:p w:rsidR="006919B4" w:rsidRDefault="006919B4" w:rsidP="006919B4">
      <w:pPr>
        <w:jc w:val="center"/>
        <w:rPr>
          <w:b/>
        </w:rPr>
      </w:pPr>
    </w:p>
    <w:p w:rsidR="006919B4" w:rsidRDefault="006919B4" w:rsidP="006919B4">
      <w:pPr>
        <w:jc w:val="center"/>
        <w:rPr>
          <w:b/>
        </w:rPr>
      </w:pPr>
    </w:p>
    <w:p w:rsidR="006919B4" w:rsidRDefault="006919B4" w:rsidP="006919B4">
      <w:pPr>
        <w:jc w:val="center"/>
        <w:rPr>
          <w:b/>
        </w:rPr>
      </w:pPr>
    </w:p>
    <w:p w:rsidR="006919B4" w:rsidRDefault="006919B4" w:rsidP="006919B4">
      <w:pPr>
        <w:jc w:val="center"/>
        <w:rPr>
          <w:b/>
        </w:rPr>
      </w:pPr>
    </w:p>
    <w:p w:rsidR="006919B4" w:rsidRDefault="006919B4" w:rsidP="006919B4">
      <w:pPr>
        <w:jc w:val="center"/>
        <w:rPr>
          <w:b/>
        </w:rPr>
      </w:pPr>
    </w:p>
    <w:p w:rsidR="006919B4" w:rsidRDefault="006919B4" w:rsidP="006919B4">
      <w:pPr>
        <w:jc w:val="center"/>
        <w:rPr>
          <w:b/>
          <w:sz w:val="20"/>
        </w:rPr>
      </w:pPr>
      <w:r w:rsidRPr="006919B4">
        <w:rPr>
          <w:b/>
          <w:sz w:val="20"/>
        </w:rPr>
        <w:t xml:space="preserve">Protocolo Assistência Técnica </w:t>
      </w:r>
    </w:p>
    <w:p w:rsidR="006919B4" w:rsidRDefault="006919B4" w:rsidP="006919B4">
      <w:pPr>
        <w:jc w:val="center"/>
        <w:rPr>
          <w:b/>
          <w:sz w:val="20"/>
        </w:rPr>
      </w:pPr>
      <w:r w:rsidRPr="006919B4">
        <w:rPr>
          <w:b/>
          <w:sz w:val="20"/>
        </w:rPr>
        <w:t xml:space="preserve">a </w:t>
      </w:r>
    </w:p>
    <w:p w:rsidR="006919B4" w:rsidRDefault="006919B4" w:rsidP="006919B4">
      <w:pPr>
        <w:jc w:val="center"/>
        <w:rPr>
          <w:b/>
          <w:sz w:val="20"/>
        </w:rPr>
      </w:pPr>
      <w:r w:rsidRPr="006919B4">
        <w:rPr>
          <w:b/>
          <w:sz w:val="20"/>
        </w:rPr>
        <w:t xml:space="preserve">Viaturas Automóveis </w:t>
      </w:r>
    </w:p>
    <w:p w:rsidR="006919B4" w:rsidRPr="006919B4" w:rsidRDefault="00B86049" w:rsidP="006919B4">
      <w:pPr>
        <w:jc w:val="center"/>
        <w:rPr>
          <w:b/>
          <w:sz w:val="20"/>
        </w:rPr>
      </w:pPr>
      <w:r>
        <w:rPr>
          <w:b/>
          <w:sz w:val="20"/>
        </w:rPr>
        <w:t>Clientes Empresa</w:t>
      </w:r>
    </w:p>
    <w:p w:rsidR="006919B4" w:rsidRDefault="006919B4" w:rsidP="006919B4">
      <w:pPr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564005" cy="1165860"/>
            <wp:effectExtent l="0" t="0" r="0" b="0"/>
            <wp:wrapSquare wrapText="bothSides"/>
            <wp:docPr id="7" name="Picture 6" descr="Vertical_com assinatur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com assinatura_log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6919B4" w:rsidRPr="00373752" w:rsidRDefault="006919B4" w:rsidP="006919B4">
      <w:pPr>
        <w:jc w:val="center"/>
        <w:rPr>
          <w:b/>
        </w:rPr>
      </w:pPr>
    </w:p>
    <w:p w:rsidR="006919B4" w:rsidRDefault="006919B4">
      <w:pPr>
        <w:spacing w:after="0" w:line="240" w:lineRule="auto"/>
        <w:rPr>
          <w:b/>
        </w:rPr>
      </w:pPr>
    </w:p>
    <w:p w:rsidR="000421A5" w:rsidRPr="003C2735" w:rsidRDefault="000421A5" w:rsidP="00373752">
      <w:pPr>
        <w:jc w:val="center"/>
        <w:rPr>
          <w:b/>
        </w:rPr>
      </w:pPr>
      <w:r w:rsidRPr="00373752">
        <w:rPr>
          <w:b/>
        </w:rPr>
        <w:t>Protocolo Assistência Técnica a Viaturas Automóveis Clientes Empresa – Santogal</w:t>
      </w:r>
    </w:p>
    <w:p w:rsidR="00C915D9" w:rsidRDefault="00C915D9" w:rsidP="0008280A">
      <w:r w:rsidRPr="00E0620E">
        <w:rPr>
          <w:u w:val="single"/>
        </w:rPr>
        <w:t>Âmbito e enquadramento do Protocolo</w:t>
      </w:r>
      <w:r>
        <w:t xml:space="preserve"> –</w:t>
      </w:r>
    </w:p>
    <w:p w:rsidR="004C70C4" w:rsidRDefault="000E16B7" w:rsidP="00060EC6">
      <w:r>
        <w:t xml:space="preserve">O Grupo </w:t>
      </w:r>
      <w:r w:rsidR="00C915D9">
        <w:t>Santogal através da sua rede de concessões e oficinas, situadas na zona da Grande Lisboa, vem estabelecer um protocolo de fo</w:t>
      </w:r>
      <w:r w:rsidR="007F2086">
        <w:t xml:space="preserve">rnecimento de serviços relacionados com </w:t>
      </w:r>
      <w:r w:rsidR="007F2086" w:rsidRPr="007F2086">
        <w:rPr>
          <w:b/>
        </w:rPr>
        <w:t>O Mundo Automóvel</w:t>
      </w:r>
      <w:r w:rsidR="00C915D9">
        <w:t>, aplicável em todas as suas oficinas à</w:t>
      </w:r>
      <w:r w:rsidR="00C3680B">
        <w:t>s</w:t>
      </w:r>
      <w:r w:rsidR="00C915D9">
        <w:t xml:space="preserve"> entidade</w:t>
      </w:r>
      <w:r w:rsidR="00060EC6">
        <w:t>s:</w:t>
      </w:r>
    </w:p>
    <w:p w:rsidR="00060EC6" w:rsidRDefault="00060EC6" w:rsidP="00090A30">
      <w:pPr>
        <w:ind w:left="708"/>
      </w:pPr>
    </w:p>
    <w:p w:rsidR="00060EC6" w:rsidRDefault="00060EC6" w:rsidP="00060EC6"/>
    <w:p w:rsidR="00F21761" w:rsidRDefault="00F21761" w:rsidP="00060EC6">
      <w:r>
        <w:t xml:space="preserve">Considera-se que este Protocolo terá </w:t>
      </w:r>
      <w:r w:rsidR="0057376C">
        <w:t>início</w:t>
      </w:r>
      <w:r>
        <w:t xml:space="preserve"> no dia _______________________.</w:t>
      </w:r>
    </w:p>
    <w:p w:rsidR="00C915D9" w:rsidRDefault="00C915D9" w:rsidP="0008280A">
      <w:r>
        <w:t xml:space="preserve">O intuito </w:t>
      </w:r>
      <w:r w:rsidR="003245B9">
        <w:t xml:space="preserve">é </w:t>
      </w:r>
      <w:r>
        <w:t>de prestar um serviço competitivo, que vá de encontro às necessidades do cliente empresa:</w:t>
      </w:r>
    </w:p>
    <w:p w:rsidR="00C915D9" w:rsidRDefault="00C915D9" w:rsidP="00723BDD">
      <w:pPr>
        <w:pStyle w:val="PargrafodaLista"/>
        <w:numPr>
          <w:ilvl w:val="0"/>
          <w:numId w:val="12"/>
        </w:numPr>
      </w:pPr>
      <w:r>
        <w:t>Controlo e redução de custo</w:t>
      </w:r>
      <w:r w:rsidR="007F2086">
        <w:t>.</w:t>
      </w:r>
    </w:p>
    <w:p w:rsidR="00C915D9" w:rsidRDefault="007F2086" w:rsidP="00723BDD">
      <w:pPr>
        <w:pStyle w:val="PargrafodaLista"/>
        <w:numPr>
          <w:ilvl w:val="0"/>
          <w:numId w:val="12"/>
        </w:numPr>
      </w:pPr>
      <w:r>
        <w:t>Mobilidade Garantida.</w:t>
      </w:r>
    </w:p>
    <w:p w:rsidR="003245B9" w:rsidRDefault="003245B9" w:rsidP="00723BDD">
      <w:pPr>
        <w:pStyle w:val="PargrafodaLista"/>
        <w:numPr>
          <w:ilvl w:val="0"/>
          <w:numId w:val="12"/>
        </w:numPr>
      </w:pPr>
      <w:r>
        <w:t>Redução de tempo de imobilização</w:t>
      </w:r>
      <w:r w:rsidR="007F2086">
        <w:t>.</w:t>
      </w:r>
    </w:p>
    <w:p w:rsidR="003245B9" w:rsidRDefault="003245B9" w:rsidP="0008280A">
      <w:pPr>
        <w:pStyle w:val="PargrafodaLista"/>
        <w:numPr>
          <w:ilvl w:val="0"/>
          <w:numId w:val="12"/>
        </w:numPr>
      </w:pPr>
      <w:r>
        <w:t>Prestação de serviços rápidos</w:t>
      </w:r>
      <w:r w:rsidR="007F2086">
        <w:t>.</w:t>
      </w:r>
    </w:p>
    <w:p w:rsidR="003245B9" w:rsidRDefault="00B2332C" w:rsidP="0008280A">
      <w:r w:rsidRPr="00723BDD">
        <w:rPr>
          <w:u w:val="single"/>
        </w:rPr>
        <w:t xml:space="preserve">Início, </w:t>
      </w:r>
      <w:r w:rsidR="003245B9" w:rsidRPr="00723BDD">
        <w:rPr>
          <w:u w:val="single"/>
        </w:rPr>
        <w:t>Duração e Renovação</w:t>
      </w:r>
      <w:r w:rsidR="00373752">
        <w:t xml:space="preserve"> -</w:t>
      </w:r>
    </w:p>
    <w:p w:rsidR="00CF1B2E" w:rsidRDefault="00B2332C" w:rsidP="00F6748D">
      <w:pPr>
        <w:jc w:val="both"/>
      </w:pPr>
      <w:r w:rsidRPr="00373752">
        <w:t>O presente protocolo têm-se por celebrado depois da aprovação da Direcção Após Venda da Santogal. Para o efeito, deverá s</w:t>
      </w:r>
      <w:r w:rsidR="00373752">
        <w:t xml:space="preserve">er prestada informação sobre a </w:t>
      </w:r>
      <w:r w:rsidRPr="00373752">
        <w:t xml:space="preserve">frota da Empresa, </w:t>
      </w:r>
      <w:r w:rsidR="00F6748D" w:rsidRPr="00373752">
        <w:t xml:space="preserve">mediante o preenchimento completo da ficha de informação. Na apreciação da candidatura, serão ponderados não só os elementos relativos á frota como também a estimativa de facturação oficinal e a </w:t>
      </w:r>
      <w:r w:rsidRPr="00373752">
        <w:t>política de aquisições</w:t>
      </w:r>
      <w:r w:rsidR="00F6748D" w:rsidRPr="00373752">
        <w:t xml:space="preserve"> da empresa</w:t>
      </w:r>
      <w:r w:rsidRPr="00373752">
        <w:t>.</w:t>
      </w:r>
      <w:r w:rsidR="00BC5FEF">
        <w:t xml:space="preserve"> Este protocolo dest</w:t>
      </w:r>
      <w:r w:rsidR="00CF1B2E">
        <w:t>i</w:t>
      </w:r>
      <w:r w:rsidR="007F2F77">
        <w:t>na-se a Empresas cuja frota não exceda as 10</w:t>
      </w:r>
      <w:r w:rsidR="00BC5FEF">
        <w:t xml:space="preserve"> viaturas</w:t>
      </w:r>
      <w:r w:rsidR="00CF1B2E">
        <w:t>.</w:t>
      </w:r>
    </w:p>
    <w:p w:rsidR="00F6748D" w:rsidRPr="00373752" w:rsidRDefault="00BC5FEF" w:rsidP="00F6748D">
      <w:pPr>
        <w:jc w:val="both"/>
      </w:pPr>
      <w:r>
        <w:t xml:space="preserve"> </w:t>
      </w:r>
      <w:r w:rsidR="00F6748D" w:rsidRPr="00373752">
        <w:t>A aprovação da candidatura Direcção Após Venda da Santogal será comunicada por escrito.</w:t>
      </w:r>
    </w:p>
    <w:p w:rsidR="003245B9" w:rsidRPr="00373752" w:rsidRDefault="003245B9" w:rsidP="0008280A">
      <w:r w:rsidRPr="00373752">
        <w:t>O Protocolo terá a duração de um ano a partir da data da</w:t>
      </w:r>
      <w:r w:rsidR="00F6748D" w:rsidRPr="00373752">
        <w:t xml:space="preserve"> aprovação da cand</w:t>
      </w:r>
      <w:r w:rsidR="00CD3DC4" w:rsidRPr="00373752">
        <w:t>i</w:t>
      </w:r>
      <w:r w:rsidR="00F6748D" w:rsidRPr="00373752">
        <w:t>datura</w:t>
      </w:r>
      <w:r w:rsidRPr="00373752">
        <w:t>, findo o qual, a Santogal se reserva o direito de alterar as suas condições.</w:t>
      </w:r>
      <w:r w:rsidR="00B2332C" w:rsidRPr="00373752">
        <w:t xml:space="preserve"> Contudo, a Santogal poderá suspender, no todo ou em parte a execução do presente Protocolo, facto de que dará prévio conhecimento por escrito. </w:t>
      </w:r>
    </w:p>
    <w:p w:rsidR="003245B9" w:rsidRDefault="003245B9" w:rsidP="0008280A">
      <w:r>
        <w:t xml:space="preserve">A renovação </w:t>
      </w:r>
      <w:r w:rsidR="00B2332C">
        <w:t xml:space="preserve">deste protocolo </w:t>
      </w:r>
      <w:r>
        <w:t>será efectuada por acordo de ambas as partes e na condição que a Empresa, forneça e mantenha</w:t>
      </w:r>
      <w:r w:rsidR="00AC399D">
        <w:t xml:space="preserve"> actualizado os dados </w:t>
      </w:r>
      <w:r>
        <w:t>necessários ao estabelecimento do Protocolo.</w:t>
      </w:r>
    </w:p>
    <w:p w:rsidR="003245B9" w:rsidRPr="00723BDD" w:rsidRDefault="003245B9" w:rsidP="0008280A">
      <w:pPr>
        <w:rPr>
          <w:u w:val="single"/>
        </w:rPr>
      </w:pPr>
      <w:r w:rsidRPr="00723BDD">
        <w:rPr>
          <w:u w:val="single"/>
        </w:rPr>
        <w:t>Serviços prestados ao abrigo do Protocolo –</w:t>
      </w:r>
    </w:p>
    <w:p w:rsidR="00D97F5D" w:rsidRDefault="003C2735" w:rsidP="00D97F5D">
      <w:pPr>
        <w:pStyle w:val="PargrafodaLista"/>
        <w:numPr>
          <w:ilvl w:val="0"/>
          <w:numId w:val="13"/>
        </w:numPr>
        <w:ind w:left="567" w:hanging="283"/>
      </w:pPr>
      <w:r>
        <w:t>Voucher válido para viaturas que não assistam na Santogal à mais de 3 anos no valor de 5%</w:t>
      </w:r>
      <w:r w:rsidR="00D97F5D">
        <w:t>,</w:t>
      </w:r>
      <w:r>
        <w:t xml:space="preserve"> que incidirá no valor total da factura da primeira visita que a viatura efectuar a qualquer oficina Santogal (excepto rede Pit Stop Santogal), efectuada no prazo de 6 meses da data do protocolo</w:t>
      </w:r>
    </w:p>
    <w:p w:rsidR="003245B9" w:rsidRDefault="00D97F5D" w:rsidP="00D97F5D">
      <w:pPr>
        <w:pStyle w:val="PargrafodaLista"/>
        <w:numPr>
          <w:ilvl w:val="0"/>
          <w:numId w:val="13"/>
        </w:numPr>
        <w:ind w:left="567" w:hanging="283"/>
      </w:pPr>
      <w:r>
        <w:rPr>
          <w:b/>
          <w:i/>
        </w:rPr>
        <w:t>Crédito</w:t>
      </w:r>
      <w:r w:rsidR="003245B9" w:rsidRPr="00D97F5D">
        <w:rPr>
          <w:b/>
          <w:i/>
        </w:rPr>
        <w:t xml:space="preserve"> a 30 dias</w:t>
      </w:r>
      <w:r w:rsidR="003245B9">
        <w:t xml:space="preserve"> (</w:t>
      </w:r>
      <w:r w:rsidR="00090A30">
        <w:t>mediante aprovação do Dept. C</w:t>
      </w:r>
      <w:r w:rsidR="003245B9">
        <w:t>rédito da Santogal)</w:t>
      </w:r>
      <w:r w:rsidR="001E4F1A">
        <w:t xml:space="preserve"> </w:t>
      </w:r>
    </w:p>
    <w:p w:rsidR="00CF1B2E" w:rsidRDefault="00CF1B2E" w:rsidP="00FD4A11">
      <w:pPr>
        <w:pStyle w:val="PargrafodaLista"/>
        <w:ind w:left="0"/>
      </w:pPr>
    </w:p>
    <w:p w:rsidR="00E0620E" w:rsidRDefault="00FD4A11" w:rsidP="00D97F5D">
      <w:pPr>
        <w:pStyle w:val="PargrafodaLista"/>
        <w:ind w:left="0"/>
      </w:pPr>
      <w:r w:rsidRPr="00174C75">
        <w:t xml:space="preserve">O desconto, quando concedido será contemplado na factura. Caso o pagamento não </w:t>
      </w:r>
      <w:r w:rsidR="001176A7" w:rsidRPr="00174C75">
        <w:t>respeite o prazo estabelecido para a concessão daquele benefício, será emitida uma fac</w:t>
      </w:r>
      <w:r w:rsidR="00CF1B2E">
        <w:t>tura para reposição do desconto</w:t>
      </w:r>
      <w:r w:rsidR="001176A7" w:rsidRPr="00174C75">
        <w:t>.</w:t>
      </w:r>
    </w:p>
    <w:p w:rsidR="00D97F5D" w:rsidRPr="003245B9" w:rsidRDefault="00D97F5D" w:rsidP="00D97F5D">
      <w:pPr>
        <w:pStyle w:val="PargrafodaLista"/>
        <w:ind w:left="0"/>
      </w:pPr>
    </w:p>
    <w:p w:rsidR="001E4F1A" w:rsidRDefault="001E4F1A" w:rsidP="00723BDD">
      <w:pPr>
        <w:pStyle w:val="PargrafodaLista"/>
        <w:numPr>
          <w:ilvl w:val="0"/>
          <w:numId w:val="13"/>
        </w:numPr>
        <w:ind w:left="567" w:hanging="283"/>
      </w:pPr>
      <w:r>
        <w:t>Mobilidade</w:t>
      </w:r>
    </w:p>
    <w:p w:rsidR="003245B9" w:rsidRDefault="001E4F1A" w:rsidP="00E62561">
      <w:pPr>
        <w:pStyle w:val="PargrafodaLista"/>
        <w:numPr>
          <w:ilvl w:val="0"/>
          <w:numId w:val="16"/>
        </w:numPr>
        <w:ind w:left="993" w:hanging="142"/>
      </w:pPr>
      <w:r w:rsidRPr="0083467F">
        <w:rPr>
          <w:b/>
          <w:i/>
        </w:rPr>
        <w:t>Viatura de Substituição</w:t>
      </w:r>
      <w:r>
        <w:t xml:space="preserve"> – desconto de 50% sobre o valor de aluguer de viatura de substituição ( desconto a aplicar sobre o PVP, da tabela </w:t>
      </w:r>
      <w:r w:rsidR="000E16B7">
        <w:t xml:space="preserve">em vigor que se </w:t>
      </w:r>
      <w:r>
        <w:t xml:space="preserve"> anexa).</w:t>
      </w:r>
      <w:r w:rsidR="00E62561">
        <w:t xml:space="preserve"> Só aplicável em caso de imobilização de viatura nas oficinas Santogal.</w:t>
      </w:r>
    </w:p>
    <w:p w:rsidR="001E4F1A" w:rsidRDefault="001E4F1A" w:rsidP="00E62561">
      <w:pPr>
        <w:pStyle w:val="PargrafodaLista"/>
        <w:numPr>
          <w:ilvl w:val="0"/>
          <w:numId w:val="16"/>
        </w:numPr>
        <w:ind w:left="993" w:hanging="142"/>
      </w:pPr>
      <w:r w:rsidRPr="0083467F">
        <w:rPr>
          <w:b/>
          <w:i/>
        </w:rPr>
        <w:t>Serviço de mobilidade Santogal</w:t>
      </w:r>
      <w:r>
        <w:t xml:space="preserve"> </w:t>
      </w:r>
      <w:r w:rsidR="006E7902">
        <w:t>–</w:t>
      </w:r>
      <w:r>
        <w:t xml:space="preserve"> </w:t>
      </w:r>
      <w:r w:rsidR="006E7902">
        <w:t xml:space="preserve">Serviço de desempanagem (grande Lisboa) ou serviço de reboque em caso de avaria ou acidente através do </w:t>
      </w:r>
      <w:r w:rsidR="0081051D">
        <w:t>número</w:t>
      </w:r>
      <w:r w:rsidR="006E7902">
        <w:t xml:space="preserve"> Info Santogal 808 202 204 (365 dias 24 horas). </w:t>
      </w:r>
      <w:r w:rsidR="006E7902" w:rsidRPr="006E7902">
        <w:t>Em caso de avaria, e se a reparação não for passível de resolução no próprio dia, poderá através da InfoSantogal solicitar uma viatura de substituição a qual será gratuita durante o tempo de imobilização da viatura e até um período máximo de 2 dias úteis.</w:t>
      </w:r>
      <w:r w:rsidR="00727157">
        <w:t xml:space="preserve"> (Custo total de 4</w:t>
      </w:r>
      <w:r w:rsidR="006E7902">
        <w:t xml:space="preserve">€ + IVA </w:t>
      </w:r>
      <w:r w:rsidR="00EB33C0">
        <w:t>(valor em vigor no ano de 2014</w:t>
      </w:r>
      <w:r w:rsidR="00727157">
        <w:t xml:space="preserve">) </w:t>
      </w:r>
      <w:r w:rsidR="006E7902">
        <w:t>a ser cobrado na factura anualmente por ocasião de serviço efectuado nas nossas oficinas).</w:t>
      </w:r>
    </w:p>
    <w:p w:rsidR="00723BDD" w:rsidRDefault="00723BDD" w:rsidP="00723BDD">
      <w:pPr>
        <w:pStyle w:val="PargrafodaLista"/>
        <w:ind w:left="1134" w:hanging="589"/>
      </w:pPr>
    </w:p>
    <w:p w:rsidR="0007012F" w:rsidRDefault="0007012F" w:rsidP="00723BDD">
      <w:pPr>
        <w:pStyle w:val="PargrafodaLista"/>
        <w:ind w:left="1134" w:hanging="589"/>
      </w:pPr>
    </w:p>
    <w:p w:rsidR="006E7902" w:rsidRDefault="006E7902" w:rsidP="00B006CB">
      <w:pPr>
        <w:pStyle w:val="PargrafodaLista"/>
        <w:numPr>
          <w:ilvl w:val="0"/>
          <w:numId w:val="13"/>
        </w:numPr>
        <w:ind w:left="567" w:hanging="283"/>
      </w:pPr>
      <w:r>
        <w:t xml:space="preserve">Redução de tempo de imobilização – </w:t>
      </w:r>
    </w:p>
    <w:p w:rsidR="006E7902" w:rsidRDefault="006E7902" w:rsidP="00E62561">
      <w:pPr>
        <w:pStyle w:val="PargrafodaLista"/>
        <w:numPr>
          <w:ilvl w:val="1"/>
          <w:numId w:val="17"/>
        </w:numPr>
        <w:ind w:left="993" w:hanging="142"/>
      </w:pPr>
      <w:r>
        <w:t>Consoante a urgência e disponibilidade de planeamento da oficina, será dada prioridade às intervenções de carácter urgente, sempre que tal seja comunicado à oficina em questão.</w:t>
      </w:r>
    </w:p>
    <w:p w:rsidR="00723BDD" w:rsidRDefault="006E7902" w:rsidP="00E62561">
      <w:pPr>
        <w:pStyle w:val="PargrafodaLista"/>
        <w:numPr>
          <w:ilvl w:val="1"/>
          <w:numId w:val="17"/>
        </w:numPr>
        <w:ind w:left="993" w:hanging="142"/>
      </w:pPr>
      <w:r>
        <w:t xml:space="preserve">Resposta em 24 horas (sem contar com dias não úteis) a </w:t>
      </w:r>
      <w:r w:rsidRPr="0083467F">
        <w:rPr>
          <w:b/>
          <w:i/>
        </w:rPr>
        <w:t>marcações efectuadas via site Santogal</w:t>
      </w:r>
      <w:r>
        <w:t xml:space="preserve"> -  </w:t>
      </w:r>
      <w:hyperlink r:id="rId12" w:history="1">
        <w:r w:rsidRPr="006E7902">
          <w:t>http://www.santogal.pt/MarcacaoOficina.aspx</w:t>
        </w:r>
      </w:hyperlink>
      <w:r>
        <w:t xml:space="preserve"> .</w:t>
      </w:r>
    </w:p>
    <w:p w:rsidR="006E7902" w:rsidRDefault="006E7902" w:rsidP="00E62561">
      <w:pPr>
        <w:pStyle w:val="PargrafodaLista"/>
        <w:numPr>
          <w:ilvl w:val="1"/>
          <w:numId w:val="17"/>
        </w:numPr>
        <w:ind w:left="993" w:hanging="142"/>
      </w:pPr>
      <w:r w:rsidRPr="0083467F">
        <w:rPr>
          <w:b/>
          <w:i/>
        </w:rPr>
        <w:lastRenderedPageBreak/>
        <w:t>Confort Service</w:t>
      </w:r>
      <w:r>
        <w:t xml:space="preserve"> – possibilidade de </w:t>
      </w:r>
      <w:r w:rsidRPr="007F2086">
        <w:rPr>
          <w:i/>
        </w:rPr>
        <w:t>recolha e entrega de viaturas no local</w:t>
      </w:r>
      <w:r>
        <w:t xml:space="preserve"> e hora que nos indicar</w:t>
      </w:r>
      <w:r w:rsidR="000E16B7">
        <w:t>, desde que na zona de Grande Lisboa</w:t>
      </w:r>
      <w:r>
        <w:t xml:space="preserve">. </w:t>
      </w:r>
      <w:r w:rsidR="000E16B7">
        <w:t xml:space="preserve">Este serviço é disponibilizado para </w:t>
      </w:r>
      <w:r w:rsidR="0083467F">
        <w:t>todas as viaturas e p</w:t>
      </w:r>
      <w:r>
        <w:t>ontualmente a para viaturas Prioritárias</w:t>
      </w:r>
      <w:r w:rsidR="000E16B7">
        <w:t xml:space="preserve">, tal como definidas no </w:t>
      </w:r>
      <w:r w:rsidR="0083467F">
        <w:t xml:space="preserve"> Protocolo</w:t>
      </w:r>
      <w:r w:rsidR="00AC399D">
        <w:t xml:space="preserve">, </w:t>
      </w:r>
      <w:r w:rsidR="000E16B7">
        <w:t xml:space="preserve">pode ou não ser disponibilizado de forma gratuita consoante a </w:t>
      </w:r>
      <w:r>
        <w:t xml:space="preserve"> disponibilidade da</w:t>
      </w:r>
      <w:r w:rsidR="008F0D56">
        <w:t xml:space="preserve"> oficina em que a viatura é assistida</w:t>
      </w:r>
      <w:r>
        <w:t>. Ver tabela anexa.</w:t>
      </w:r>
    </w:p>
    <w:p w:rsidR="006E7902" w:rsidRDefault="006E7902" w:rsidP="00E62561">
      <w:pPr>
        <w:pStyle w:val="PargrafodaLista"/>
        <w:numPr>
          <w:ilvl w:val="1"/>
          <w:numId w:val="17"/>
        </w:numPr>
        <w:ind w:left="993" w:hanging="142"/>
      </w:pPr>
      <w:r w:rsidRPr="0083467F">
        <w:rPr>
          <w:b/>
          <w:i/>
        </w:rPr>
        <w:t>Gestão de Sinistros</w:t>
      </w:r>
      <w:r>
        <w:t xml:space="preserve"> – sem custo adicional para os clientes que contratarem </w:t>
      </w:r>
      <w:r w:rsidRPr="007F2086">
        <w:rPr>
          <w:i/>
        </w:rPr>
        <w:t>Seguro Auto Santogal</w:t>
      </w:r>
      <w:r>
        <w:t xml:space="preserve"> </w:t>
      </w:r>
      <w:r w:rsidRPr="003F23B2">
        <w:t>dispomos de um serviço inovador para o apoiar, gerir e acompanhar na regularização de sinistro automóvel.</w:t>
      </w:r>
    </w:p>
    <w:p w:rsidR="003F23B2" w:rsidRDefault="003F23B2" w:rsidP="00B006CB">
      <w:pPr>
        <w:pStyle w:val="PargrafodaLista"/>
        <w:numPr>
          <w:ilvl w:val="0"/>
          <w:numId w:val="19"/>
        </w:numPr>
        <w:ind w:left="1985" w:hanging="142"/>
      </w:pPr>
      <w:r>
        <w:t xml:space="preserve">Emissão de carta verde e condições do contrato no local de entrega do </w:t>
      </w:r>
      <w:r w:rsidR="0081051D">
        <w:t>veículo</w:t>
      </w:r>
      <w:r>
        <w:t>.</w:t>
      </w:r>
    </w:p>
    <w:p w:rsidR="003F23B2" w:rsidRDefault="003F23B2" w:rsidP="00B006CB">
      <w:pPr>
        <w:pStyle w:val="PargrafodaLista"/>
        <w:numPr>
          <w:ilvl w:val="0"/>
          <w:numId w:val="19"/>
        </w:numPr>
        <w:ind w:left="1985" w:hanging="142"/>
      </w:pPr>
      <w:r>
        <w:t>Procedimentos administrativos privilegiados.</w:t>
      </w:r>
    </w:p>
    <w:p w:rsidR="003F23B2" w:rsidRDefault="003F23B2" w:rsidP="00B006CB">
      <w:pPr>
        <w:pStyle w:val="PargrafodaLista"/>
        <w:numPr>
          <w:ilvl w:val="0"/>
          <w:numId w:val="19"/>
        </w:numPr>
        <w:ind w:left="1985" w:hanging="142"/>
      </w:pPr>
      <w:r>
        <w:t>Acompanhamento em caso de sinistro pela Gestão Sinistros Santogal – Info Santogal 808 202 204</w:t>
      </w:r>
    </w:p>
    <w:p w:rsidR="003F23B2" w:rsidRDefault="003F23B2" w:rsidP="00B006CB">
      <w:pPr>
        <w:pStyle w:val="PargrafodaLista"/>
        <w:numPr>
          <w:ilvl w:val="0"/>
          <w:numId w:val="19"/>
        </w:numPr>
        <w:ind w:left="1985" w:hanging="142"/>
      </w:pPr>
      <w:r>
        <w:t>Coberturas e bónus específicos para clientes Seguro Santogal.</w:t>
      </w:r>
    </w:p>
    <w:p w:rsidR="008A4CCC" w:rsidRDefault="008A4CCC" w:rsidP="0008280A">
      <w:pPr>
        <w:pStyle w:val="PargrafodaLista"/>
      </w:pPr>
    </w:p>
    <w:p w:rsidR="003F23B2" w:rsidRPr="003F23B2" w:rsidRDefault="008A4CCC" w:rsidP="00B006CB">
      <w:pPr>
        <w:pStyle w:val="PargrafodaLista"/>
        <w:numPr>
          <w:ilvl w:val="0"/>
          <w:numId w:val="13"/>
        </w:numPr>
        <w:ind w:left="567" w:hanging="283"/>
      </w:pPr>
      <w:r>
        <w:t xml:space="preserve">Outras Condições </w:t>
      </w:r>
      <w:r w:rsidR="003723CF">
        <w:t>Especiais -</w:t>
      </w:r>
      <w:r w:rsidR="003F23B2">
        <w:t xml:space="preserve"> </w:t>
      </w:r>
      <w:r w:rsidR="003F23B2" w:rsidRPr="003F23B2">
        <w:t>A Santogal está preparada para efectuar nas suas oficinas de marca  os seguintes serviços</w:t>
      </w:r>
    </w:p>
    <w:p w:rsidR="003F23B2" w:rsidRDefault="003F23B2" w:rsidP="0008280A">
      <w:pPr>
        <w:pStyle w:val="PargrafodaLista"/>
      </w:pPr>
    </w:p>
    <w:p w:rsidR="003F23B2" w:rsidRDefault="003F23B2" w:rsidP="00B006CB">
      <w:pPr>
        <w:pStyle w:val="PargrafodaLista"/>
        <w:numPr>
          <w:ilvl w:val="0"/>
          <w:numId w:val="20"/>
        </w:numPr>
        <w:ind w:left="1134" w:hanging="141"/>
      </w:pPr>
      <w:r>
        <w:t>Lavagem – cartão de fidelização</w:t>
      </w:r>
      <w:r w:rsidRPr="0083467F">
        <w:t>, oferta de uma lavagem por cada 4.</w:t>
      </w:r>
    </w:p>
    <w:p w:rsidR="003F23B2" w:rsidRDefault="0081051D" w:rsidP="00B006CB">
      <w:pPr>
        <w:pStyle w:val="PargrafodaLista"/>
        <w:numPr>
          <w:ilvl w:val="0"/>
          <w:numId w:val="20"/>
        </w:numPr>
        <w:ind w:left="1134" w:hanging="141"/>
      </w:pPr>
      <w:r>
        <w:t>Pneus</w:t>
      </w:r>
      <w:r w:rsidR="00D02F17">
        <w:t xml:space="preserve"> – descontos especiais para protocolo Santogal – Empresa. (ver tabela)</w:t>
      </w:r>
    </w:p>
    <w:p w:rsidR="008A4CCC" w:rsidRDefault="00D02F17" w:rsidP="0008280A">
      <w:pPr>
        <w:pStyle w:val="PargrafodaLista"/>
        <w:numPr>
          <w:ilvl w:val="0"/>
          <w:numId w:val="20"/>
        </w:numPr>
        <w:ind w:left="1134" w:hanging="141"/>
      </w:pPr>
      <w:r w:rsidRPr="0083467F">
        <w:rPr>
          <w:b/>
          <w:i/>
        </w:rPr>
        <w:t xml:space="preserve">Serviço de IPO – preço promocional de </w:t>
      </w:r>
      <w:r w:rsidR="00633F44">
        <w:rPr>
          <w:b/>
          <w:i/>
        </w:rPr>
        <w:t>59,90</w:t>
      </w:r>
      <w:r w:rsidRPr="0083467F">
        <w:rPr>
          <w:b/>
          <w:i/>
        </w:rPr>
        <w:t>€</w:t>
      </w:r>
      <w:r>
        <w:t xml:space="preserve"> , com oferta de Check Up + </w:t>
      </w:r>
      <w:r w:rsidRPr="007F2086">
        <w:rPr>
          <w:i/>
        </w:rPr>
        <w:t>vales de desconto</w:t>
      </w:r>
      <w:r>
        <w:t xml:space="preserve"> em serviços oficinais </w:t>
      </w:r>
      <w:r w:rsidRPr="007F2086">
        <w:rPr>
          <w:i/>
        </w:rPr>
        <w:t>no valor de 100€</w:t>
      </w:r>
      <w:r>
        <w:t xml:space="preserve"> com a duração de um ano a partir da data da inspecção.</w:t>
      </w:r>
    </w:p>
    <w:p w:rsidR="00E0620E" w:rsidRPr="008F0D56" w:rsidRDefault="00E0620E" w:rsidP="00E0620E">
      <w:pPr>
        <w:pStyle w:val="PargrafodaLista"/>
        <w:ind w:left="1134"/>
      </w:pPr>
    </w:p>
    <w:p w:rsidR="008A4CCC" w:rsidRDefault="008F0D56" w:rsidP="00140088">
      <w:pPr>
        <w:pStyle w:val="PargrafodaLista"/>
        <w:numPr>
          <w:ilvl w:val="0"/>
          <w:numId w:val="13"/>
        </w:numPr>
        <w:ind w:left="567" w:hanging="283"/>
      </w:pPr>
      <w:r>
        <w:t>Oficinas de</w:t>
      </w:r>
      <w:r w:rsidR="008A4CCC">
        <w:t xml:space="preserve"> serviços rápidos” Pit Stop Santogal” : Dispomos também de oficinas dedicadas á execução de serviços rápidos que estão vocacionadas para intervenções de curta duração nas quais se incluem, alguns trabalhos de manutenção tais como:</w:t>
      </w:r>
    </w:p>
    <w:p w:rsidR="008A4CCC" w:rsidRDefault="008A4CCC" w:rsidP="0008280A">
      <w:pPr>
        <w:pStyle w:val="PargrafodaLista"/>
      </w:pPr>
      <w:r>
        <w:t xml:space="preserve">                                </w:t>
      </w:r>
    </w:p>
    <w:p w:rsidR="008A4CCC" w:rsidRDefault="00A15216" w:rsidP="00140088">
      <w:pPr>
        <w:pStyle w:val="PargrafodaLista"/>
        <w:numPr>
          <w:ilvl w:val="0"/>
          <w:numId w:val="21"/>
        </w:numPr>
        <w:ind w:left="1134" w:hanging="141"/>
      </w:pPr>
      <w:r>
        <w:t>Mudança de óleo, filtros, correias, etc</w:t>
      </w:r>
      <w:r w:rsidR="003723CF">
        <w:t>.</w:t>
      </w:r>
    </w:p>
    <w:p w:rsidR="00D02F17" w:rsidRDefault="00D02F17" w:rsidP="00140088">
      <w:pPr>
        <w:pStyle w:val="PargrafodaLista"/>
        <w:numPr>
          <w:ilvl w:val="0"/>
          <w:numId w:val="21"/>
        </w:numPr>
        <w:ind w:left="1134" w:hanging="141"/>
      </w:pPr>
      <w:r>
        <w:t>Pneus</w:t>
      </w:r>
    </w:p>
    <w:p w:rsidR="00D02F17" w:rsidRDefault="008A4CCC" w:rsidP="00140088">
      <w:pPr>
        <w:pStyle w:val="PargrafodaLista"/>
        <w:numPr>
          <w:ilvl w:val="0"/>
          <w:numId w:val="21"/>
        </w:numPr>
        <w:ind w:left="1134" w:hanging="141"/>
      </w:pPr>
      <w:r>
        <w:t xml:space="preserve">Reparação e substituição de </w:t>
      </w:r>
      <w:r w:rsidR="00D02F17">
        <w:t>Vidros</w:t>
      </w:r>
    </w:p>
    <w:p w:rsidR="00D02F17" w:rsidRDefault="00D02F17" w:rsidP="00140088">
      <w:pPr>
        <w:pStyle w:val="PargrafodaLista"/>
        <w:numPr>
          <w:ilvl w:val="0"/>
          <w:numId w:val="21"/>
        </w:numPr>
        <w:ind w:left="1134" w:hanging="141"/>
      </w:pPr>
      <w:r>
        <w:t>Lavagens</w:t>
      </w:r>
    </w:p>
    <w:p w:rsidR="00D02F17" w:rsidRDefault="00D02F17" w:rsidP="00140088">
      <w:pPr>
        <w:pStyle w:val="PargrafodaLista"/>
        <w:numPr>
          <w:ilvl w:val="0"/>
          <w:numId w:val="21"/>
        </w:numPr>
        <w:ind w:left="1134" w:hanging="141"/>
      </w:pPr>
      <w:r>
        <w:t>IPO</w:t>
      </w:r>
    </w:p>
    <w:p w:rsidR="00D02F17" w:rsidRDefault="00D02F17" w:rsidP="0008280A">
      <w:r>
        <w:t xml:space="preserve">Para mais detalhes sobre os serviços PIT Stop </w:t>
      </w:r>
      <w:r w:rsidR="008A4CCC">
        <w:t xml:space="preserve">Santogal </w:t>
      </w:r>
      <w:r>
        <w:t xml:space="preserve">consultar o site </w:t>
      </w:r>
      <w:hyperlink r:id="rId13" w:history="1">
        <w:r w:rsidRPr="00D02F17">
          <w:rPr>
            <w:rStyle w:val="Hiperligao"/>
          </w:rPr>
          <w:t>Pit Stop</w:t>
        </w:r>
      </w:hyperlink>
      <w:r>
        <w:t xml:space="preserve"> </w:t>
      </w:r>
      <w:r w:rsidR="00A15216">
        <w:t>Santogal</w:t>
      </w:r>
      <w:r>
        <w:t>. (Os descontos referidos em 1 não se aplicam nesta rede de Oficinas).</w:t>
      </w:r>
    </w:p>
    <w:p w:rsidR="00D02F17" w:rsidRDefault="00E00A0A" w:rsidP="0008280A">
      <w:pPr>
        <w:pStyle w:val="PargrafodaLista"/>
        <w:numPr>
          <w:ilvl w:val="0"/>
          <w:numId w:val="13"/>
        </w:numPr>
        <w:ind w:left="567" w:hanging="283"/>
      </w:pPr>
      <w:r>
        <w:t xml:space="preserve">Manutenção Programada – para viaturas adquiridas à Santogal ou com menos de um ano de </w:t>
      </w:r>
      <w:r w:rsidR="007F2086">
        <w:t>matrícula</w:t>
      </w:r>
      <w:r>
        <w:t xml:space="preserve"> a Santogal está pronta a propor contratos de manutenção, que já englobam o desconto oferecido em 1, consoante a quilometragem e os serviços contratados pela empresa.</w:t>
      </w:r>
    </w:p>
    <w:p w:rsidR="00414B97" w:rsidRDefault="00B2332C" w:rsidP="0008280A">
      <w:r>
        <w:t>Condições necessárias para a concessão de crédito</w:t>
      </w:r>
      <w:r w:rsidR="00E00A0A">
        <w:t>:</w:t>
      </w:r>
    </w:p>
    <w:p w:rsidR="00834B73" w:rsidRPr="000C3618" w:rsidRDefault="00D561DB" w:rsidP="0008280A">
      <w:pPr>
        <w:pStyle w:val="PargrafodaLista"/>
      </w:pPr>
      <w:r w:rsidRPr="000C3618">
        <w:t xml:space="preserve">Para as condições que </w:t>
      </w:r>
      <w:r w:rsidR="00834B73" w:rsidRPr="000C3618">
        <w:t>pressuponham a existência de crédito</w:t>
      </w:r>
      <w:r w:rsidRPr="000C3618">
        <w:t xml:space="preserve"> oficinal,</w:t>
      </w:r>
      <w:r w:rsidR="00834B73" w:rsidRPr="000C3618">
        <w:t xml:space="preserve"> é necessári</w:t>
      </w:r>
      <w:r w:rsidR="000C3618">
        <w:t>a</w:t>
      </w:r>
      <w:r w:rsidR="00373752">
        <w:t xml:space="preserve"> </w:t>
      </w:r>
      <w:r w:rsidRPr="000C3618">
        <w:t xml:space="preserve">a apresentação </w:t>
      </w:r>
      <w:r w:rsidR="00373752">
        <w:t xml:space="preserve">do respectivo pedido cuja apreciação </w:t>
      </w:r>
      <w:r w:rsidR="00834B73" w:rsidRPr="000C3618">
        <w:t>é feita discricionariamente pela Santogal</w:t>
      </w:r>
      <w:r w:rsidR="000C3618" w:rsidRPr="000C3618">
        <w:t xml:space="preserve"> que o pode cancelar a todo</w:t>
      </w:r>
      <w:r w:rsidR="00373752">
        <w:t xml:space="preserve"> o tempo</w:t>
      </w:r>
      <w:r w:rsidR="00834B73" w:rsidRPr="000C3618">
        <w:t>. O montante máximo d</w:t>
      </w:r>
      <w:r w:rsidR="000C3618">
        <w:t>o patamar de</w:t>
      </w:r>
      <w:r w:rsidR="00834B73" w:rsidRPr="000C3618">
        <w:t xml:space="preserve"> crédito </w:t>
      </w:r>
      <w:r w:rsidR="000C3618">
        <w:t xml:space="preserve">concedido </w:t>
      </w:r>
      <w:r w:rsidR="00834B73" w:rsidRPr="000C3618">
        <w:t xml:space="preserve">depende do volume previsível de facturação equivalente a dois meses.  </w:t>
      </w:r>
    </w:p>
    <w:p w:rsidR="00834B73" w:rsidRDefault="00834B73" w:rsidP="0008280A">
      <w:pPr>
        <w:pStyle w:val="PargrafodaLista"/>
      </w:pPr>
      <w:r w:rsidRPr="000C3618">
        <w:t xml:space="preserve">Todos os demais serviços e condições são válidos também para as situações de </w:t>
      </w:r>
      <w:r w:rsidR="00414B97" w:rsidRPr="000C3618">
        <w:t>Pronto Pagamento.</w:t>
      </w:r>
    </w:p>
    <w:p w:rsidR="00B2332C" w:rsidRDefault="00B2332C" w:rsidP="0008280A">
      <w:pPr>
        <w:pStyle w:val="PargrafodaLista"/>
      </w:pPr>
    </w:p>
    <w:p w:rsidR="00457138" w:rsidRPr="00457138" w:rsidRDefault="00457138" w:rsidP="00457138">
      <w:pPr>
        <w:rPr>
          <w:u w:val="single"/>
        </w:rPr>
      </w:pPr>
      <w:r w:rsidRPr="00457138">
        <w:rPr>
          <w:u w:val="single"/>
        </w:rPr>
        <w:t>Gestor do Cliente:</w:t>
      </w:r>
    </w:p>
    <w:p w:rsidR="00E00A0A" w:rsidRDefault="00E00A0A" w:rsidP="0008280A">
      <w:r>
        <w:t>A Santogal nomeará um Gestor de Cliente, que terá por missão acompanhar o cliente na sua relação com a Santogal, devendo o mesmo ser alertado para qualquer situação anómala que surja na interacção entre qualquer empresa da Santogal e a empresa.</w:t>
      </w:r>
    </w:p>
    <w:p w:rsidR="00DB053D" w:rsidRDefault="00E00A0A" w:rsidP="0008280A">
      <w:r>
        <w:t xml:space="preserve">Este elemento terá também como </w:t>
      </w:r>
      <w:r w:rsidRPr="007F2086">
        <w:rPr>
          <w:i/>
        </w:rPr>
        <w:t xml:space="preserve">missão </w:t>
      </w:r>
      <w:r w:rsidR="00DB053D" w:rsidRPr="007F2086">
        <w:rPr>
          <w:i/>
        </w:rPr>
        <w:t>apoiar</w:t>
      </w:r>
      <w:r w:rsidR="00DB053D">
        <w:t xml:space="preserve"> a Vossa empresa </w:t>
      </w:r>
      <w:r w:rsidR="00DB053D" w:rsidRPr="007F2086">
        <w:rPr>
          <w:i/>
        </w:rPr>
        <w:t>no</w:t>
      </w:r>
      <w:r w:rsidR="00DB053D">
        <w:t xml:space="preserve"> </w:t>
      </w:r>
      <w:r w:rsidR="00DB053D" w:rsidRPr="007F2086">
        <w:rPr>
          <w:i/>
        </w:rPr>
        <w:t>processo de aquisição de viaturas novas ou usadas</w:t>
      </w:r>
      <w:r w:rsidR="00DB053D">
        <w:t>, de qualquer marca:</w:t>
      </w:r>
    </w:p>
    <w:p w:rsidR="00DB053D" w:rsidRDefault="00DB053D" w:rsidP="00140088">
      <w:pPr>
        <w:pStyle w:val="PargrafodaLista"/>
        <w:numPr>
          <w:ilvl w:val="0"/>
          <w:numId w:val="22"/>
        </w:numPr>
        <w:ind w:left="1276" w:hanging="196"/>
      </w:pPr>
      <w:r w:rsidRPr="00DB053D">
        <w:t>A</w:t>
      </w:r>
      <w:r w:rsidR="00E00A0A" w:rsidRPr="00DB053D">
        <w:t>presentar propostas de aquisição de viaturas nova</w:t>
      </w:r>
      <w:r>
        <w:t>s ou usadas, de qualquer marca.</w:t>
      </w:r>
    </w:p>
    <w:p w:rsidR="00DB053D" w:rsidRDefault="00DB053D" w:rsidP="00140088">
      <w:pPr>
        <w:pStyle w:val="PargrafodaLista"/>
        <w:numPr>
          <w:ilvl w:val="0"/>
          <w:numId w:val="22"/>
        </w:numPr>
        <w:ind w:left="1276" w:hanging="196"/>
      </w:pPr>
      <w:r>
        <w:t>S</w:t>
      </w:r>
      <w:r w:rsidR="00E00A0A" w:rsidRPr="00DB053D">
        <w:t>oluções de financiamento, seguro e man</w:t>
      </w:r>
      <w:r>
        <w:t>utenção programada.</w:t>
      </w:r>
    </w:p>
    <w:p w:rsidR="00DB053D" w:rsidRDefault="00DB053D" w:rsidP="00140088">
      <w:pPr>
        <w:pStyle w:val="PargrafodaLista"/>
        <w:numPr>
          <w:ilvl w:val="0"/>
          <w:numId w:val="22"/>
        </w:numPr>
        <w:ind w:left="1276" w:hanging="196"/>
      </w:pPr>
      <w:r>
        <w:t>Possibilitar o test drive dos diversos modelos e marcas por nós representadas.</w:t>
      </w:r>
    </w:p>
    <w:p w:rsidR="00DB053D" w:rsidRDefault="00DB053D" w:rsidP="00140088">
      <w:pPr>
        <w:pStyle w:val="PargrafodaLista"/>
        <w:numPr>
          <w:ilvl w:val="0"/>
          <w:numId w:val="22"/>
        </w:numPr>
        <w:ind w:left="1276" w:hanging="196"/>
      </w:pPr>
      <w:r>
        <w:t xml:space="preserve">Encontrar as viaturas que mais se enquadrem na vossa </w:t>
      </w:r>
      <w:r w:rsidR="007F2086">
        <w:t>política</w:t>
      </w:r>
      <w:r>
        <w:t xml:space="preserve"> de frotas, aproveitando todas as condições especiais das marcas e campanhas em vigor.</w:t>
      </w:r>
    </w:p>
    <w:p w:rsidR="00633F44" w:rsidRDefault="00DB053D" w:rsidP="0008280A">
      <w:r w:rsidRPr="00DB053D">
        <w:t xml:space="preserve"> </w:t>
      </w:r>
    </w:p>
    <w:p w:rsidR="00633F44" w:rsidRDefault="00633F44">
      <w:pPr>
        <w:spacing w:after="0" w:line="240" w:lineRule="auto"/>
      </w:pPr>
      <w:r>
        <w:br w:type="page"/>
      </w:r>
    </w:p>
    <w:p w:rsidR="00DB053D" w:rsidRPr="00DB053D" w:rsidRDefault="00DB053D" w:rsidP="0008280A"/>
    <w:p w:rsidR="00E00A0A" w:rsidRPr="00DB053D" w:rsidRDefault="00DB053D" w:rsidP="0008280A">
      <w:r>
        <w:t xml:space="preserve">Será também obrigação do Gestor de Cliente </w:t>
      </w:r>
      <w:r w:rsidR="00B17893" w:rsidRPr="00DB053D">
        <w:t>recolher e informar, junto de vós, os elemento</w:t>
      </w:r>
      <w:r>
        <w:t>s que nos permitirão renovar o P</w:t>
      </w:r>
      <w:r w:rsidR="00B17893" w:rsidRPr="00DB053D">
        <w:t>rotocolo agora estabelecido.</w:t>
      </w:r>
    </w:p>
    <w:p w:rsidR="00B17893" w:rsidRDefault="00B17893" w:rsidP="0008280A">
      <w:r>
        <w:t xml:space="preserve">A </w:t>
      </w:r>
      <w:r w:rsidR="00DB053D">
        <w:t>Santogal espera assim com este P</w:t>
      </w:r>
      <w:r>
        <w:t>rotocolo, melhorar o serviço que presta, e fortalecer os laços comerciais entre as nossas empresas.</w:t>
      </w:r>
    </w:p>
    <w:p w:rsidR="005D1447" w:rsidRDefault="00444C6D" w:rsidP="00444C6D">
      <w:r>
        <w:t>Pela Santogal</w:t>
      </w:r>
      <w:r w:rsidR="00060EC6">
        <w:tab/>
      </w:r>
      <w:r w:rsidR="00060EC6">
        <w:tab/>
      </w:r>
      <w:r w:rsidR="00060EC6">
        <w:tab/>
      </w:r>
      <w:r w:rsidR="00060EC6">
        <w:tab/>
      </w:r>
      <w:r w:rsidR="00060EC6">
        <w:tab/>
      </w:r>
      <w:r w:rsidR="00060EC6">
        <w:tab/>
        <w:t>Pela Empresa</w:t>
      </w:r>
    </w:p>
    <w:p w:rsidR="00444C6D" w:rsidRDefault="00060EC6" w:rsidP="00444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C6D" w:rsidRDefault="00444C6D" w:rsidP="005D1447">
      <w:pPr>
        <w:spacing w:after="0"/>
      </w:pPr>
      <w:r>
        <w:t>________________________________________</w:t>
      </w:r>
      <w:r>
        <w:tab/>
      </w:r>
      <w:r>
        <w:tab/>
      </w:r>
      <w:r>
        <w:tab/>
        <w:t>____________________________________</w:t>
      </w:r>
    </w:p>
    <w:p w:rsidR="005D1447" w:rsidRDefault="005D1447" w:rsidP="005D1447">
      <w:pPr>
        <w:spacing w:after="0"/>
      </w:pPr>
    </w:p>
    <w:p w:rsidR="00AD1213" w:rsidRDefault="00AD1213">
      <w:pPr>
        <w:spacing w:after="0" w:line="240" w:lineRule="auto"/>
      </w:pPr>
      <w:r>
        <w:br w:type="page"/>
      </w:r>
    </w:p>
    <w:p w:rsidR="002E4E9E" w:rsidRDefault="002E4E9E" w:rsidP="005D1447">
      <w:pPr>
        <w:spacing w:after="0"/>
      </w:pPr>
    </w:p>
    <w:p w:rsidR="002E4E9E" w:rsidRDefault="002E4E9E" w:rsidP="00295684">
      <w:pPr>
        <w:jc w:val="center"/>
      </w:pPr>
      <w:r>
        <w:t>Condições Comerciais Pneus Empresas</w:t>
      </w:r>
    </w:p>
    <w:p w:rsidR="002E4E9E" w:rsidRDefault="002E4E9E" w:rsidP="0008280A">
      <w:r>
        <w:t>Descontos 201</w:t>
      </w:r>
      <w:r w:rsidR="002C4FCF">
        <w:t>4</w:t>
      </w:r>
      <w:r>
        <w:t>*</w:t>
      </w:r>
    </w:p>
    <w:tbl>
      <w:tblPr>
        <w:tblStyle w:val="LightList-Accent11"/>
        <w:tblW w:w="4514" w:type="dxa"/>
        <w:jc w:val="center"/>
        <w:tblLayout w:type="fixed"/>
        <w:tblLook w:val="04A0" w:firstRow="1" w:lastRow="0" w:firstColumn="1" w:lastColumn="0" w:noHBand="0" w:noVBand="1"/>
      </w:tblPr>
      <w:tblGrid>
        <w:gridCol w:w="3046"/>
        <w:gridCol w:w="1468"/>
      </w:tblGrid>
      <w:tr w:rsidR="00DE143F" w:rsidRPr="00DE143F" w:rsidTr="00DE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noWrap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rPr>
                <w:sz w:val="18"/>
              </w:rPr>
            </w:pPr>
            <w:r w:rsidRPr="00DE143F">
              <w:rPr>
                <w:sz w:val="18"/>
              </w:rPr>
              <w:t>Marca</w:t>
            </w:r>
          </w:p>
        </w:tc>
        <w:tc>
          <w:tcPr>
            <w:tcW w:w="1468" w:type="dxa"/>
            <w:noWrap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143F">
              <w:rPr>
                <w:sz w:val="18"/>
              </w:rPr>
              <w:t>Desconto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ind w:left="594" w:hanging="594"/>
              <w:contextualSpacing/>
              <w:jc w:val="center"/>
            </w:pPr>
            <w:r w:rsidRPr="00DE143F">
              <w:t>Bridgestone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40%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Firestone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40%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Michelin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30%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Kleber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27%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Bfgoodrich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27%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Goodyear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30%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Sava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29%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Fulda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25%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Dunlop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29%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Yokohama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27%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Continental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27%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Uniroyal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11%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Barum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17%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Mabor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17%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Pirelli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30%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Kumho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5%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Debica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29%</w:t>
            </w:r>
          </w:p>
        </w:tc>
      </w:tr>
      <w:tr w:rsidR="00DE143F" w:rsidRPr="00DE143F" w:rsidTr="00DE143F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Kormoran</w:t>
            </w:r>
          </w:p>
        </w:tc>
        <w:tc>
          <w:tcPr>
            <w:tcW w:w="1468" w:type="dxa"/>
            <w:vAlign w:val="center"/>
            <w:hideMark/>
          </w:tcPr>
          <w:p w:rsidR="00DE143F" w:rsidRPr="00DE143F" w:rsidRDefault="00DE143F" w:rsidP="00DE14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143F">
              <w:t>15%</w:t>
            </w:r>
          </w:p>
        </w:tc>
      </w:tr>
      <w:tr w:rsidR="00DE143F" w:rsidRPr="00DE143F" w:rsidTr="00DE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Align w:val="center"/>
          </w:tcPr>
          <w:p w:rsidR="00DE143F" w:rsidRPr="00DE143F" w:rsidRDefault="00DE143F" w:rsidP="00DE143F">
            <w:pPr>
              <w:contextualSpacing/>
              <w:jc w:val="center"/>
            </w:pPr>
            <w:r w:rsidRPr="00DE143F">
              <w:t>Tigar</w:t>
            </w:r>
          </w:p>
        </w:tc>
        <w:tc>
          <w:tcPr>
            <w:tcW w:w="1468" w:type="dxa"/>
            <w:vAlign w:val="center"/>
          </w:tcPr>
          <w:p w:rsidR="00DE143F" w:rsidRPr="00DE143F" w:rsidRDefault="00DE143F" w:rsidP="00DE143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143F">
              <w:t>15%</w:t>
            </w:r>
          </w:p>
        </w:tc>
      </w:tr>
    </w:tbl>
    <w:p w:rsidR="002E4E9E" w:rsidRDefault="002E4E9E" w:rsidP="0008280A"/>
    <w:p w:rsidR="002E4E9E" w:rsidRDefault="002E4E9E" w:rsidP="0008280A">
      <w:r w:rsidRPr="002E4E9E">
        <w:t>*</w:t>
      </w:r>
      <w:r>
        <w:t xml:space="preserve"> </w:t>
      </w:r>
      <w:r w:rsidR="002C4FCF">
        <w:t>Condições de desconto em vigor a 1 de Janeiro 2014, poderão sofrer alterações ao longo do ano</w:t>
      </w:r>
      <w:r w:rsidRPr="002E4E9E">
        <w:t xml:space="preserve"> e não acumuláveis com outras campanhas ou promoções em vigor</w:t>
      </w:r>
      <w:r w:rsidR="002C4FCF">
        <w:t>.</w:t>
      </w:r>
    </w:p>
    <w:p w:rsidR="00633F44" w:rsidRDefault="00633F44" w:rsidP="0008280A"/>
    <w:p w:rsidR="002E4E9E" w:rsidRDefault="002E4E9E" w:rsidP="0008280A"/>
    <w:p w:rsidR="00C14B06" w:rsidRDefault="002E4E9E" w:rsidP="00653A2A">
      <w:pPr>
        <w:spacing w:after="0" w:line="240" w:lineRule="auto"/>
        <w:sectPr w:rsidR="00C14B06" w:rsidSect="00633F44">
          <w:headerReference w:type="default" r:id="rId14"/>
          <w:footerReference w:type="default" r:id="rId15"/>
          <w:pgSz w:w="11906" w:h="16838"/>
          <w:pgMar w:top="1276" w:right="1701" w:bottom="1418" w:left="851" w:header="284" w:footer="709" w:gutter="0"/>
          <w:cols w:space="708"/>
          <w:titlePg/>
          <w:docGrid w:linePitch="360"/>
        </w:sectPr>
      </w:pPr>
      <w:r>
        <w:br w:type="page"/>
      </w:r>
    </w:p>
    <w:p w:rsidR="002E4E9E" w:rsidRDefault="002E4E9E" w:rsidP="00C14B06">
      <w:pPr>
        <w:spacing w:after="0" w:line="240" w:lineRule="auto"/>
        <w:jc w:val="center"/>
      </w:pPr>
      <w:r>
        <w:lastRenderedPageBreak/>
        <w:t>Viaturas de Substituição - Turismo</w:t>
      </w:r>
    </w:p>
    <w:p w:rsidR="002E4E9E" w:rsidRDefault="002E4E9E" w:rsidP="00C14B06">
      <w:pPr>
        <w:jc w:val="center"/>
      </w:pPr>
      <w:r>
        <w:t xml:space="preserve">Tabela de Preços de Venda </w:t>
      </w:r>
      <w:r w:rsidR="00653A2A">
        <w:t>2014</w:t>
      </w:r>
    </w:p>
    <w:p w:rsidR="002E4E9E" w:rsidRDefault="002E4E9E" w:rsidP="00C14B06">
      <w:pPr>
        <w:jc w:val="center"/>
      </w:pPr>
      <w:r>
        <w:t>Preços com IVA</w:t>
      </w:r>
    </w:p>
    <w:p w:rsidR="002E4E9E" w:rsidRDefault="002E4E9E" w:rsidP="0008280A">
      <w:r>
        <w:t>As condições de aluguer a aplicar serão definidas pela Rent-a-Car</w:t>
      </w:r>
    </w:p>
    <w:tbl>
      <w:tblPr>
        <w:tblW w:w="13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268"/>
        <w:gridCol w:w="992"/>
        <w:gridCol w:w="4536"/>
        <w:gridCol w:w="1276"/>
        <w:gridCol w:w="1360"/>
        <w:gridCol w:w="1222"/>
        <w:gridCol w:w="880"/>
      </w:tblGrid>
      <w:tr w:rsidR="00653A2A" w:rsidRPr="00C14B06" w:rsidTr="00633F44">
        <w:trPr>
          <w:trHeight w:val="397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Grupo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Segmento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Combustível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Viaturas tipo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Preço Venda</w:t>
            </w: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br/>
              <w:t>c/IVA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Franquia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SCDW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22"/>
                <w:lang w:eastAsia="pt-PT"/>
              </w:rPr>
              <w:t>PAI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A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Minis - Segmento A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Gasolina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SMART FORTWO / FIAT PANDA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23,00 €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968,00 €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6,00 €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B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Utilitários - Segmento B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Gasolina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CITROËN C2 / FORD KA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23,00 €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850,00 €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7,00 €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C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Utilitários - Segmento B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Gasolina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MITSUBISHI COLT 1.1 / RENAULT CLIO 1.2 / SEAT IBIZA 1.2 / VW POLO / FORD FIESTA / CITROËN C3 / MAZDA 2 MZ-CD / FIAT GRANDE PUNTO / PEUGEOT 206 / FIAT GRANDE PUNTO / SART FORTWO Cx Aut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28,00 €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968,00 €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8,00 €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D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Utilitários - Segmento B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SKODA FABIA BREAK / RENAULT CLIO BREAK / SEAT IBIZA ST / VW POLO TDI / FIAT GRANDE PUNTO MULTIJET/FORD FIESTA Tdci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33,00 €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1.452,00 €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9,00 €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E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Pequenos Familiares - Segmento C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VW POLO TDI / FORD FIESTA 1.4 TDCI / CITRÖEN C3 / RENAULT CLIO / PEUGEOT 207 HDI/MERCEDES A150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48,00 €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1.450,00 €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9,00 €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E SW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Pequenos Familiares - Segmento C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SKODA FABIA BREAK 1.4 TDI / RENAULT CLIO BREAK 1.5 DCI / SEAT IBIZA ST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46,00 €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1.450,00 €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9,50 €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F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Pequenos Familiares - Segmento C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OPEL ASTRA SW CDTI / MERCEDES A160 CDI / MERCEDES B150 (gasolina) / PEUGEOT 308 HDI / CITROËN C4 HDI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50,00 €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1.450,00 €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9,50 €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G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Pequenos Familiares - Segmento C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RENAULT MEGANE SW dci / PEUGEOT 308 SW HDI / VOLKSWAGEN GOLF TDI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55,00 €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1.815,00 €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10,00 €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H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Pequenos Familiares - Segmento C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FORD FOCUS 1.6 TDCI / PEUGEOT 308 1.6 HDI / MAZDA 3 HB MZR 1.6 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55,00 €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1.900,00 €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14,00 €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E AUT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Pequenos Familiares - Segmento C Automático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MITSUBISHI COLT DCI Aut. / Mercedes A150 Aut. / MERCEDES B150 Aut.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59,00 €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1.900,00 €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14,00 €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H sw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Pequenos Familiares - Segmento C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FORD FOCUS 1.6 TDCI SW / RENAULT MEGANE SPORT TOURER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60,00 €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1.900,00 €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14,00 €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 xml:space="preserve">I 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Médios Familiares - Segmento D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VW GOLF TDI / BMW 1 SERIES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66,00 €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2.100,00 €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17,50 €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I SW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Médios Familiares - Segmento D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FORD C-MAX / VW GOLF VARIANT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68,00 €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2.100,00 €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18,00 €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J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Médios Familiares - Segmento D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VW Passat ou similar A/C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74,00 €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2.722,50 €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18,00 €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J SW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Médios Familiares - Segmento D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VOLKSWAGEN PASSAT SW Tdi / Peugeot 3008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82,00 €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2.722,50 €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18,00 €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L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Médios Familiares - Segmento D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FORD MONDEO / RENAULT LAGUNA / MERCEDES A180 CDI / BMW 318 / Audi A4 Tdi / MERCEDES C220 Cdi ou similar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107,00 €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3.630,00 €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20,00 €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L SW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Médios Familiares - Segmento D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BMW 3 SERIES TOURING / MAZDA 6 SW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107,00 €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3.630,00 €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21,00 €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M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Grandes Familiares - Segmento E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BMW 5 SERIES / MERCEDES GLK 220 CDI / AUDI A6 Tdi / MERCEDES E 250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133,00 €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4.235,00 €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24,00 €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N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Luxo - Segmento F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MERCEDES S ou similar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246,00 €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5.000,00 €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Não definido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1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Monovolumes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>VW T5 TDI 6L / IVECO Turbodaily HPI 6L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val="en-US" w:eastAsia="pt-PT"/>
              </w:rPr>
              <w:t xml:space="preserve">                </w:t>
            </w: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71,00 €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1.815,00 €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14,00 €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2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Monovolumes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Ford S-Max Tdci/Seat Alhambra Tdi/Vw Sharan Tdi / FORD GALAXY / MERCEDES-BENZ VITO 111 CDI A/C ou similar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86,00 €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2.722,50 €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17,00 €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  <w:tr w:rsidR="00653A2A" w:rsidRPr="00C14B06" w:rsidTr="00633F44">
        <w:trPr>
          <w:trHeight w:val="283"/>
          <w:jc w:val="center"/>
        </w:trPr>
        <w:tc>
          <w:tcPr>
            <w:tcW w:w="7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22"/>
                <w:lang w:eastAsia="pt-PT"/>
              </w:rPr>
              <w:t>3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Monovolumes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653A2A" w:rsidRPr="00C14B06" w:rsidRDefault="00653A2A" w:rsidP="00653A2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VW T5 TDI 9L / Nissan Primastar DCI 9L / Opel Vivaro DCI 9L / Mercedes Vito CDI 9L / VW Caravelle TDI 9L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         90,00 € </w:t>
            </w:r>
          </w:p>
        </w:tc>
        <w:tc>
          <w:tcPr>
            <w:tcW w:w="13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  2.420,00 € </w:t>
            </w:r>
          </w:p>
        </w:tc>
        <w:tc>
          <w:tcPr>
            <w:tcW w:w="122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14,00 € </w:t>
            </w:r>
          </w:p>
        </w:tc>
        <w:tc>
          <w:tcPr>
            <w:tcW w:w="88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653A2A" w:rsidRPr="00C14B06" w:rsidRDefault="00653A2A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22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22"/>
                <w:lang w:eastAsia="pt-PT"/>
              </w:rPr>
              <w:t xml:space="preserve">     3,86 € </w:t>
            </w:r>
          </w:p>
        </w:tc>
      </w:tr>
    </w:tbl>
    <w:p w:rsidR="002E4E9E" w:rsidRDefault="002E4E9E" w:rsidP="0008280A"/>
    <w:p w:rsidR="00C14B06" w:rsidRDefault="00C14B06" w:rsidP="00C14B06">
      <w:pPr>
        <w:spacing w:after="0" w:line="240" w:lineRule="auto"/>
        <w:jc w:val="center"/>
      </w:pPr>
      <w:r>
        <w:lastRenderedPageBreak/>
        <w:t>Viaturas de Substituição - Comerciais</w:t>
      </w:r>
    </w:p>
    <w:p w:rsidR="00C14B06" w:rsidRDefault="00C14B06" w:rsidP="00C14B06">
      <w:pPr>
        <w:jc w:val="center"/>
      </w:pPr>
      <w:r>
        <w:t>Tabela de Preços de Venda 2014</w:t>
      </w:r>
    </w:p>
    <w:p w:rsidR="00C14B06" w:rsidRDefault="00C14B06" w:rsidP="00C14B06">
      <w:pPr>
        <w:jc w:val="center"/>
      </w:pPr>
      <w:r>
        <w:t>Preços com IVA</w:t>
      </w:r>
    </w:p>
    <w:p w:rsidR="00C14B06" w:rsidRDefault="00C14B06" w:rsidP="00C14B06">
      <w:r>
        <w:t>As condições de aluguer a aplicar serão definidas pela Rent-a-Car</w:t>
      </w:r>
    </w:p>
    <w:tbl>
      <w:tblPr>
        <w:tblW w:w="13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886"/>
        <w:gridCol w:w="992"/>
        <w:gridCol w:w="4536"/>
        <w:gridCol w:w="1276"/>
        <w:gridCol w:w="1276"/>
        <w:gridCol w:w="1276"/>
        <w:gridCol w:w="850"/>
      </w:tblGrid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Grupo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Segmento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Combustivel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Viatura tipo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Preço Venda</w:t>
            </w: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br/>
              <w:t>c/IVA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Franquia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SCDW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FFFFFF"/>
                <w:sz w:val="14"/>
                <w:szCs w:val="14"/>
                <w:lang w:eastAsia="pt-PT"/>
              </w:rPr>
              <w:t>PAI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1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Derivados do Turismo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FORD FIESTA SPORTVAN 1.4 TDCI / MITSUBISHI COLT 1.5 DID VAN / OPEL CORSA VAN 1.3 CDTI / RENAULT CLIO 1.5 DCI / VW</w:t>
            </w: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br/>
              <w:t>POLO VAN 1.4 TDI / FIAT GRANDE PUNTO 1.3 MTJ / SEAT IBIZA 1.4 TDI / CITRÖEN C3 Fiat / PEUGEOT 207 HDI 2L / FORD FIESTA TDCI 2L / FIAT DOBLO AC / similar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35,00 €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968,00 €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13,00 €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2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Furgões - Pequeno Volume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val="en-US"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val="en-US" w:eastAsia="pt-PT"/>
              </w:rPr>
              <w:t>FORD TRANSIT CONNECT LONGA 1.8 TDCI / VW CADDY 1.9 SDI / PEUGEOT PARTNER HDI 2L / FIAT DOBLO MAXI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val="en-US" w:eastAsia="pt-PT"/>
              </w:rPr>
              <w:t xml:space="preserve">                   </w:t>
            </w: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32,00 €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1.089,00 €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8,00 €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3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Furgões - Médio Volume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VW TRANSPORTER T5 1.9 TDI / VW CADDY MAXI 1.9 TDI / CITROËN JUMPER HDI 3L / PEUGEOT BOXER HDI 3L / MERCEDES VITO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74,00 €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1.815,00 €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14,00 €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3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Furgões - Médio Volume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VW CRAFTER 35 2.5 MÉDIO / FORD TRANSIT 330L 2.4  furgão comp. médio e/ou c/ tecto semi-elevado / VW CRAFTER Tdi /IVECO TURBODAILY Tecto Alto Rodado Simples 3L / IVECO 35S12 HPI (Tecto Alto)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82,00 €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2.420,00 €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16,00 €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4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Furgões - Grande Volume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VW CRAFTER 35 2.5 LONGO / FIAT DUCATO LH2 2.3 M.JET furgão comp.longo e/ou c/ tecto elevado / IVECO TURBODAILY Rodado Duplo / IVECO 35C13 HPI (Tecto Alto)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99,00 €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3.025,00 €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18,00 €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5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Mistos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VW TRANSPORTER / MERCEDES VITO COMBI 2.1 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63,00 €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1.800,00 €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16,00 €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6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Pick-Up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MAZDA BT 50 2.5 / MITSUBISHI L200 2.5  cabine dupla / TOYOTA HILUX Cab Dupla 5 L - Cx Madeira - 4x4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76,00 €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2.722,50 €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18,00 €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6S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Pick-Up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JEEP WRANGLER CRD Sahara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99,00 €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2.722,50 €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18,00 €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7S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Chassis - Caixa aberta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MITSUBISHI CANTER 3.0 cabine simples 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  71,00 €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1.900,00 €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18,00 €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7D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Chassis - Caixa aberta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MITSUBISHI CANTER 3.0 cabine dupla / IVECO TURBODAILY Caixa aberta cabine dupla 7L / FORD TRANSIT caixa aberta cabine simples 3L /  FORD TRANSIT caixa aberta cabine dupla 7L  / NISSAN NAVARRA 4X4 - Cab Dupla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107,00 €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2.117,50 €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20,00 €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  <w:tr w:rsidR="00C14B06" w:rsidRPr="00C14B06" w:rsidTr="00633F44">
        <w:trPr>
          <w:trHeight w:val="283"/>
          <w:jc w:val="center"/>
        </w:trPr>
        <w:tc>
          <w:tcPr>
            <w:tcW w:w="1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pt-PT"/>
              </w:rPr>
              <w:t>8</w:t>
            </w:r>
          </w:p>
        </w:tc>
        <w:tc>
          <w:tcPr>
            <w:tcW w:w="18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Chassis - Caixa Fechada - Contentores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>Gasoleo</w:t>
            </w:r>
          </w:p>
        </w:tc>
        <w:tc>
          <w:tcPr>
            <w:tcW w:w="4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C14B06" w:rsidRPr="00C14B06" w:rsidRDefault="00C14B06" w:rsidP="00C14B0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MERCEDES SPRINTER Contentor c/basculante 500 Kg 3L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         110,00 €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  3.630,00 € </w:t>
            </w: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   20,00 € </w:t>
            </w:r>
          </w:p>
        </w:tc>
        <w:tc>
          <w:tcPr>
            <w:tcW w:w="85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C14B06" w:rsidRPr="00C14B06" w:rsidRDefault="00C14B06" w:rsidP="00633F4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PT"/>
              </w:rPr>
            </w:pPr>
            <w:r w:rsidRPr="00C14B06">
              <w:rPr>
                <w:rFonts w:eastAsia="Times New Roman"/>
                <w:color w:val="000000"/>
                <w:sz w:val="14"/>
                <w:szCs w:val="14"/>
                <w:lang w:eastAsia="pt-PT"/>
              </w:rPr>
              <w:t xml:space="preserve">   3,86 € </w:t>
            </w:r>
          </w:p>
        </w:tc>
      </w:tr>
    </w:tbl>
    <w:p w:rsidR="009401E6" w:rsidRDefault="009401E6" w:rsidP="0008280A"/>
    <w:p w:rsidR="001E1894" w:rsidRDefault="001E1894" w:rsidP="0008280A"/>
    <w:p w:rsidR="001E1894" w:rsidRDefault="001E1894" w:rsidP="0008280A"/>
    <w:p w:rsidR="00AD1213" w:rsidRDefault="00AD1213" w:rsidP="0008280A"/>
    <w:p w:rsidR="00AD1213" w:rsidRDefault="00AD1213" w:rsidP="00AD1213">
      <w:pPr>
        <w:tabs>
          <w:tab w:val="left" w:pos="2169"/>
        </w:tabs>
        <w:sectPr w:rsidR="00AD1213" w:rsidSect="00C14B06">
          <w:headerReference w:type="default" r:id="rId16"/>
          <w:headerReference w:type="first" r:id="rId17"/>
          <w:pgSz w:w="16838" w:h="11906" w:orient="landscape"/>
          <w:pgMar w:top="851" w:right="1244" w:bottom="1701" w:left="1418" w:header="284" w:footer="709" w:gutter="0"/>
          <w:cols w:space="708"/>
          <w:docGrid w:linePitch="360"/>
        </w:sectPr>
      </w:pPr>
      <w:r>
        <w:tab/>
      </w:r>
    </w:p>
    <w:p w:rsidR="009401E6" w:rsidRDefault="00C40565" w:rsidP="00295684">
      <w:pPr>
        <w:jc w:val="center"/>
      </w:pPr>
      <w:r>
        <w:lastRenderedPageBreak/>
        <w:t>Confort Service – recolha e entrega de viaturas</w:t>
      </w:r>
    </w:p>
    <w:tbl>
      <w:tblPr>
        <w:tblW w:w="13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976"/>
        <w:gridCol w:w="1007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</w:rPr>
              <w:br w:type="page"/>
            </w:r>
            <w:r w:rsidRPr="00633F44">
              <w:rPr>
                <w:sz w:val="14"/>
                <w:lang w:eastAsia="pt-PT"/>
              </w:rPr>
              <w:t>Custo serviço: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Só entrega ou recolha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euros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(preços c/ IVA)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Entrega + recolha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euros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(preços c/ IVA)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 xml:space="preserve">                       Origem</w:t>
            </w:r>
            <w:r w:rsidRPr="00633F44">
              <w:rPr>
                <w:sz w:val="14"/>
                <w:lang w:eastAsia="pt-PT"/>
              </w:rPr>
              <w:br/>
              <w:t>Destino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Lisboa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Amadora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Oeiras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Odivelas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Cacém / Queluz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Sintra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Cascais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Loures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Porto Alto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Almada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Barreiro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Lisboa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Amadora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Oeiras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73,80 €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Odivelas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Cacém/Queluz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Sintra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73,80 €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67,70 €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Cascais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87,20 €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67,70 €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Loures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25,70 €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Porto Alto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73,80 €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73,80 €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87,20 €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67,70 €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Almada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28,70 €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67,70 €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Barreiro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43,10 €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67,70 €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67,70 €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55,40 €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34,90 €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94" w:rsidRPr="00633F44" w:rsidRDefault="001E1894" w:rsidP="00633F44">
            <w:pPr>
              <w:jc w:val="center"/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18,50 €</w:t>
            </w:r>
          </w:p>
        </w:tc>
      </w:tr>
      <w:tr w:rsidR="001E1894" w:rsidRPr="00633F44" w:rsidTr="00633F44">
        <w:trPr>
          <w:trHeight w:val="20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  <w:r w:rsidRPr="00633F44">
              <w:rPr>
                <w:sz w:val="14"/>
                <w:lang w:eastAsia="pt-PT"/>
              </w:rPr>
              <w:t>Preços c/ IVA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94" w:rsidRPr="00633F44" w:rsidRDefault="001E1894" w:rsidP="0008280A">
            <w:pPr>
              <w:rPr>
                <w:sz w:val="14"/>
                <w:lang w:eastAsia="pt-PT"/>
              </w:rPr>
            </w:pPr>
          </w:p>
        </w:tc>
      </w:tr>
    </w:tbl>
    <w:p w:rsidR="00312509" w:rsidRPr="00312509" w:rsidRDefault="00312509" w:rsidP="00AD1213">
      <w:pPr>
        <w:spacing w:after="0" w:line="240" w:lineRule="auto"/>
      </w:pPr>
    </w:p>
    <w:sectPr w:rsidR="00312509" w:rsidRPr="00312509" w:rsidSect="008E0970">
      <w:headerReference w:type="default" r:id="rId1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60" w:rsidRDefault="00393C60" w:rsidP="0008280A">
      <w:r>
        <w:separator/>
      </w:r>
    </w:p>
  </w:endnote>
  <w:endnote w:type="continuationSeparator" w:id="0">
    <w:p w:rsidR="00393C60" w:rsidRDefault="00393C60" w:rsidP="0008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A" w:rsidRPr="00AC4D55" w:rsidRDefault="00653A2A" w:rsidP="0008280A">
    <w:pPr>
      <w:pStyle w:val="Rodap"/>
    </w:pPr>
    <w:r>
      <w:t>Pag.</w:t>
    </w:r>
    <w:r w:rsidRPr="00AC4D55">
      <w:t xml:space="preserve"> </w:t>
    </w:r>
    <w:r w:rsidR="004F6BCA">
      <w:fldChar w:fldCharType="begin"/>
    </w:r>
    <w:r w:rsidR="004F6BCA">
      <w:instrText xml:space="preserve"> PAGE </w:instrText>
    </w:r>
    <w:r w:rsidR="004F6BCA">
      <w:fldChar w:fldCharType="separate"/>
    </w:r>
    <w:r w:rsidR="00BF6E13">
      <w:rPr>
        <w:noProof/>
      </w:rPr>
      <w:t>2</w:t>
    </w:r>
    <w:r w:rsidR="004F6BCA">
      <w:rPr>
        <w:noProof/>
      </w:rPr>
      <w:fldChar w:fldCharType="end"/>
    </w:r>
    <w:r>
      <w:t xml:space="preserve"> de</w:t>
    </w:r>
    <w:r w:rsidRPr="00AC4D55">
      <w:t xml:space="preserve"> </w:t>
    </w:r>
    <w:r w:rsidR="00393C60">
      <w:fldChar w:fldCharType="begin"/>
    </w:r>
    <w:r w:rsidR="00393C60">
      <w:instrText xml:space="preserve"> NUMPAGES  </w:instrText>
    </w:r>
    <w:r w:rsidR="00393C60">
      <w:fldChar w:fldCharType="separate"/>
    </w:r>
    <w:r w:rsidR="00BF6E13">
      <w:rPr>
        <w:noProof/>
      </w:rPr>
      <w:t>8</w:t>
    </w:r>
    <w:r w:rsidR="00393C60">
      <w:rPr>
        <w:noProof/>
      </w:rPr>
      <w:fldChar w:fldCharType="end"/>
    </w:r>
    <w:r w:rsidR="002C792F">
      <w:tab/>
    </w:r>
    <w:r w:rsidR="002C792F">
      <w:tab/>
    </w:r>
    <w:r w:rsidR="002C792F">
      <w:tab/>
    </w:r>
    <w:r w:rsidR="00EB33C0">
      <w:rPr>
        <w:sz w:val="8"/>
        <w:szCs w:val="8"/>
      </w:rPr>
      <w:t>&lt;</w:t>
    </w:r>
    <w:r w:rsidR="002C792F" w:rsidRPr="002C792F">
      <w:rPr>
        <w:sz w:val="8"/>
        <w:szCs w:val="8"/>
      </w:rPr>
      <w:t>10</w:t>
    </w:r>
  </w:p>
  <w:p w:rsidR="00653A2A" w:rsidRDefault="00653A2A" w:rsidP="000828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60" w:rsidRDefault="00393C60" w:rsidP="0008280A">
      <w:r>
        <w:separator/>
      </w:r>
    </w:p>
  </w:footnote>
  <w:footnote w:type="continuationSeparator" w:id="0">
    <w:p w:rsidR="00393C60" w:rsidRDefault="00393C60" w:rsidP="0008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A" w:rsidRDefault="00653A2A" w:rsidP="0008280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5703570</wp:posOffset>
          </wp:positionH>
          <wp:positionV relativeFrom="paragraph">
            <wp:posOffset>31750</wp:posOffset>
          </wp:positionV>
          <wp:extent cx="760095" cy="134620"/>
          <wp:effectExtent l="19050" t="0" r="1905" b="0"/>
          <wp:wrapTopAndBottom/>
          <wp:docPr id="2" name="Picture 0" descr="Logo-Santogal com n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Santogal com no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06" w:rsidRDefault="00C14B06" w:rsidP="0008280A">
    <w:pPr>
      <w:pStyle w:val="Cabealho"/>
    </w:pPr>
    <w:r w:rsidRPr="00C14B06"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8531860</wp:posOffset>
          </wp:positionH>
          <wp:positionV relativeFrom="paragraph">
            <wp:posOffset>48895</wp:posOffset>
          </wp:positionV>
          <wp:extent cx="760095" cy="134620"/>
          <wp:effectExtent l="19050" t="0" r="1905" b="0"/>
          <wp:wrapTopAndBottom/>
          <wp:docPr id="8" name="Picture 0" descr="Logo-Santogal com n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Santogal com no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06" w:rsidRDefault="00C14B06">
    <w:pPr>
      <w:pStyle w:val="Cabealho"/>
    </w:pPr>
    <w:r w:rsidRPr="00C14B06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8508365</wp:posOffset>
          </wp:positionH>
          <wp:positionV relativeFrom="paragraph">
            <wp:posOffset>31115</wp:posOffset>
          </wp:positionV>
          <wp:extent cx="758190" cy="134620"/>
          <wp:effectExtent l="19050" t="0" r="3810" b="0"/>
          <wp:wrapTopAndBottom/>
          <wp:docPr id="6" name="Picture 0" descr="Logo-Santogal com n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Santogal com no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2A" w:rsidRDefault="00653A2A" w:rsidP="0008280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8691245</wp:posOffset>
          </wp:positionH>
          <wp:positionV relativeFrom="paragraph">
            <wp:posOffset>-199390</wp:posOffset>
          </wp:positionV>
          <wp:extent cx="746760" cy="131445"/>
          <wp:effectExtent l="19050" t="0" r="0" b="0"/>
          <wp:wrapTopAndBottom/>
          <wp:docPr id="1" name="Picture 0" descr="Logo-Santogal com n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Santogal com no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F74"/>
    <w:multiLevelType w:val="hybridMultilevel"/>
    <w:tmpl w:val="F1002C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818"/>
    <w:multiLevelType w:val="hybridMultilevel"/>
    <w:tmpl w:val="ED0438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348A"/>
    <w:multiLevelType w:val="hybridMultilevel"/>
    <w:tmpl w:val="B562EB4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F05EA7"/>
    <w:multiLevelType w:val="hybridMultilevel"/>
    <w:tmpl w:val="ED88130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38B"/>
    <w:multiLevelType w:val="hybridMultilevel"/>
    <w:tmpl w:val="E94469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B03D7"/>
    <w:multiLevelType w:val="hybridMultilevel"/>
    <w:tmpl w:val="AD84234C"/>
    <w:lvl w:ilvl="0" w:tplc="079AD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79C5"/>
    <w:multiLevelType w:val="hybridMultilevel"/>
    <w:tmpl w:val="BDC6F6E6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3951C9"/>
    <w:multiLevelType w:val="hybridMultilevel"/>
    <w:tmpl w:val="D5AE32D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370A7"/>
    <w:multiLevelType w:val="hybridMultilevel"/>
    <w:tmpl w:val="F8160F7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AD026C"/>
    <w:multiLevelType w:val="hybridMultilevel"/>
    <w:tmpl w:val="1CC88D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B21249"/>
    <w:multiLevelType w:val="hybridMultilevel"/>
    <w:tmpl w:val="5D7001E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11708"/>
    <w:multiLevelType w:val="hybridMultilevel"/>
    <w:tmpl w:val="945ABEF8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0B0B9A"/>
    <w:multiLevelType w:val="multilevel"/>
    <w:tmpl w:val="9E7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96A96"/>
    <w:multiLevelType w:val="hybridMultilevel"/>
    <w:tmpl w:val="578C08DE"/>
    <w:lvl w:ilvl="0" w:tplc="0816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4" w15:restartNumberingAfterBreak="0">
    <w:nsid w:val="4BCD2C12"/>
    <w:multiLevelType w:val="hybridMultilevel"/>
    <w:tmpl w:val="F778673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E97ED6"/>
    <w:multiLevelType w:val="hybridMultilevel"/>
    <w:tmpl w:val="3D00826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EB58D9"/>
    <w:multiLevelType w:val="hybridMultilevel"/>
    <w:tmpl w:val="A168BCB4"/>
    <w:lvl w:ilvl="0" w:tplc="D09CA9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69F5A69"/>
    <w:multiLevelType w:val="hybridMultilevel"/>
    <w:tmpl w:val="73D895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26E0"/>
    <w:multiLevelType w:val="hybridMultilevel"/>
    <w:tmpl w:val="18D641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7BB1"/>
    <w:multiLevelType w:val="hybridMultilevel"/>
    <w:tmpl w:val="F244BBA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566E30"/>
    <w:multiLevelType w:val="hybridMultilevel"/>
    <w:tmpl w:val="E222ACE2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765DF7"/>
    <w:multiLevelType w:val="hybridMultilevel"/>
    <w:tmpl w:val="218EA2C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5029A1"/>
    <w:multiLevelType w:val="hybridMultilevel"/>
    <w:tmpl w:val="D97CF260"/>
    <w:lvl w:ilvl="0" w:tplc="08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7"/>
  </w:num>
  <w:num w:numId="8">
    <w:abstractNumId w:val="4"/>
  </w:num>
  <w:num w:numId="9">
    <w:abstractNumId w:val="18"/>
  </w:num>
  <w:num w:numId="10">
    <w:abstractNumId w:val="0"/>
  </w:num>
  <w:num w:numId="11">
    <w:abstractNumId w:val="15"/>
  </w:num>
  <w:num w:numId="12">
    <w:abstractNumId w:val="3"/>
  </w:num>
  <w:num w:numId="13">
    <w:abstractNumId w:val="20"/>
  </w:num>
  <w:num w:numId="14">
    <w:abstractNumId w:val="7"/>
  </w:num>
  <w:num w:numId="15">
    <w:abstractNumId w:val="16"/>
  </w:num>
  <w:num w:numId="16">
    <w:abstractNumId w:val="13"/>
  </w:num>
  <w:num w:numId="17">
    <w:abstractNumId w:val="22"/>
  </w:num>
  <w:num w:numId="18">
    <w:abstractNumId w:val="19"/>
  </w:num>
  <w:num w:numId="19">
    <w:abstractNumId w:val="8"/>
  </w:num>
  <w:num w:numId="20">
    <w:abstractNumId w:val="10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A5"/>
    <w:rsid w:val="00040523"/>
    <w:rsid w:val="000421A5"/>
    <w:rsid w:val="00060EC6"/>
    <w:rsid w:val="0007012F"/>
    <w:rsid w:val="0008280A"/>
    <w:rsid w:val="00090A30"/>
    <w:rsid w:val="0009221F"/>
    <w:rsid w:val="000C3618"/>
    <w:rsid w:val="000E16B7"/>
    <w:rsid w:val="001176A7"/>
    <w:rsid w:val="00124992"/>
    <w:rsid w:val="00140088"/>
    <w:rsid w:val="00143571"/>
    <w:rsid w:val="00174C75"/>
    <w:rsid w:val="001904B5"/>
    <w:rsid w:val="001D3E64"/>
    <w:rsid w:val="001E1894"/>
    <w:rsid w:val="001E4F1A"/>
    <w:rsid w:val="001E6173"/>
    <w:rsid w:val="002206A9"/>
    <w:rsid w:val="00291677"/>
    <w:rsid w:val="00295684"/>
    <w:rsid w:val="002B4803"/>
    <w:rsid w:val="002C4FCF"/>
    <w:rsid w:val="002C792F"/>
    <w:rsid w:val="002E4E9E"/>
    <w:rsid w:val="0030208C"/>
    <w:rsid w:val="00312509"/>
    <w:rsid w:val="00316AB0"/>
    <w:rsid w:val="00322161"/>
    <w:rsid w:val="003245B9"/>
    <w:rsid w:val="00336161"/>
    <w:rsid w:val="003723CF"/>
    <w:rsid w:val="00373752"/>
    <w:rsid w:val="00393C60"/>
    <w:rsid w:val="003B2886"/>
    <w:rsid w:val="003C1DBA"/>
    <w:rsid w:val="003C2735"/>
    <w:rsid w:val="003F23B2"/>
    <w:rsid w:val="003F5E38"/>
    <w:rsid w:val="00414B97"/>
    <w:rsid w:val="00444C6D"/>
    <w:rsid w:val="00457138"/>
    <w:rsid w:val="00474753"/>
    <w:rsid w:val="00475F29"/>
    <w:rsid w:val="004B2954"/>
    <w:rsid w:val="004C70C4"/>
    <w:rsid w:val="004D1B00"/>
    <w:rsid w:val="004F6BCA"/>
    <w:rsid w:val="00500486"/>
    <w:rsid w:val="0050661E"/>
    <w:rsid w:val="0053742B"/>
    <w:rsid w:val="005423CE"/>
    <w:rsid w:val="00562051"/>
    <w:rsid w:val="0057376C"/>
    <w:rsid w:val="00586C62"/>
    <w:rsid w:val="005D0BC2"/>
    <w:rsid w:val="005D1447"/>
    <w:rsid w:val="005D23D2"/>
    <w:rsid w:val="005F2D77"/>
    <w:rsid w:val="00612E19"/>
    <w:rsid w:val="00633F44"/>
    <w:rsid w:val="00653A2A"/>
    <w:rsid w:val="00672135"/>
    <w:rsid w:val="0067321F"/>
    <w:rsid w:val="006919B4"/>
    <w:rsid w:val="006E7902"/>
    <w:rsid w:val="00723BDD"/>
    <w:rsid w:val="00727157"/>
    <w:rsid w:val="007A6CBA"/>
    <w:rsid w:val="007B6EAA"/>
    <w:rsid w:val="007D1089"/>
    <w:rsid w:val="007E7DE3"/>
    <w:rsid w:val="007F13B5"/>
    <w:rsid w:val="007F2086"/>
    <w:rsid w:val="007F2F77"/>
    <w:rsid w:val="0081051D"/>
    <w:rsid w:val="00813383"/>
    <w:rsid w:val="0083467F"/>
    <w:rsid w:val="00834B73"/>
    <w:rsid w:val="00852257"/>
    <w:rsid w:val="00892378"/>
    <w:rsid w:val="008A4CCC"/>
    <w:rsid w:val="008E0970"/>
    <w:rsid w:val="008E19E7"/>
    <w:rsid w:val="008E4117"/>
    <w:rsid w:val="008F0D56"/>
    <w:rsid w:val="009401E6"/>
    <w:rsid w:val="009A63D7"/>
    <w:rsid w:val="009A6D37"/>
    <w:rsid w:val="009B3845"/>
    <w:rsid w:val="009B3CBC"/>
    <w:rsid w:val="009E5701"/>
    <w:rsid w:val="00A10233"/>
    <w:rsid w:val="00A15216"/>
    <w:rsid w:val="00A52AE3"/>
    <w:rsid w:val="00A63C2D"/>
    <w:rsid w:val="00A65ACF"/>
    <w:rsid w:val="00A91BC4"/>
    <w:rsid w:val="00AC399D"/>
    <w:rsid w:val="00AC4D55"/>
    <w:rsid w:val="00AC5F0E"/>
    <w:rsid w:val="00AD1213"/>
    <w:rsid w:val="00AD3EEE"/>
    <w:rsid w:val="00B006CB"/>
    <w:rsid w:val="00B17893"/>
    <w:rsid w:val="00B2332C"/>
    <w:rsid w:val="00B44467"/>
    <w:rsid w:val="00B6436C"/>
    <w:rsid w:val="00B86049"/>
    <w:rsid w:val="00BA4345"/>
    <w:rsid w:val="00BC5FEF"/>
    <w:rsid w:val="00BE2885"/>
    <w:rsid w:val="00BE4982"/>
    <w:rsid w:val="00BF6E13"/>
    <w:rsid w:val="00C020CF"/>
    <w:rsid w:val="00C11295"/>
    <w:rsid w:val="00C14B06"/>
    <w:rsid w:val="00C22FF3"/>
    <w:rsid w:val="00C3680B"/>
    <w:rsid w:val="00C40565"/>
    <w:rsid w:val="00C632C2"/>
    <w:rsid w:val="00C90E72"/>
    <w:rsid w:val="00C915D9"/>
    <w:rsid w:val="00C92E45"/>
    <w:rsid w:val="00C97D23"/>
    <w:rsid w:val="00CD3DC4"/>
    <w:rsid w:val="00CE02C8"/>
    <w:rsid w:val="00CF1B2E"/>
    <w:rsid w:val="00D02F17"/>
    <w:rsid w:val="00D11497"/>
    <w:rsid w:val="00D13204"/>
    <w:rsid w:val="00D561DB"/>
    <w:rsid w:val="00D97F5D"/>
    <w:rsid w:val="00DA73E9"/>
    <w:rsid w:val="00DB053D"/>
    <w:rsid w:val="00DE143F"/>
    <w:rsid w:val="00E00A0A"/>
    <w:rsid w:val="00E0620E"/>
    <w:rsid w:val="00E56DC8"/>
    <w:rsid w:val="00E62561"/>
    <w:rsid w:val="00EB33C0"/>
    <w:rsid w:val="00EF2203"/>
    <w:rsid w:val="00F1561A"/>
    <w:rsid w:val="00F17998"/>
    <w:rsid w:val="00F21761"/>
    <w:rsid w:val="00F30C31"/>
    <w:rsid w:val="00F6748D"/>
    <w:rsid w:val="00F81E7E"/>
    <w:rsid w:val="00FD4A11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5B913-937F-4778-AE87-71B754BB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138"/>
    <w:pPr>
      <w:spacing w:after="200" w:line="276" w:lineRule="auto"/>
    </w:pPr>
    <w:rPr>
      <w:sz w:val="16"/>
      <w:szCs w:val="1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15D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E790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4CCC"/>
    <w:pPr>
      <w:spacing w:after="0" w:line="240" w:lineRule="auto"/>
    </w:pPr>
    <w:rPr>
      <w:rFonts w:ascii="Tahoma" w:hAnsi="Tahoma" w:cs="Tahoma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4CCC"/>
    <w:rPr>
      <w:rFonts w:ascii="Tahoma" w:hAnsi="Tahoma" w:cs="Tahoma"/>
      <w:sz w:val="16"/>
      <w:szCs w:val="16"/>
      <w:lang w:eastAsia="en-US"/>
    </w:rPr>
  </w:style>
  <w:style w:type="table" w:customStyle="1" w:styleId="LightList-Accent11">
    <w:name w:val="Light List - Accent 11"/>
    <w:basedOn w:val="Tabelanormal"/>
    <w:uiPriority w:val="61"/>
    <w:rsid w:val="002E4E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AC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4D55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AC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4D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ntogal.pt/PitStop.aspx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ntogal.pt/MarcacaoOficina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5EF8F83FE99F4EB82328850DCF1BF1" ma:contentTypeVersion="1" ma:contentTypeDescription="Criar um novo documento." ma:contentTypeScope="" ma:versionID="32a7b0c495eccfbdaf1ede455dbbe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e60872a8a263084bfec33926a1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4C22-4C2D-454C-9B2A-B0E7D68622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975351-0144-44D8-9327-DA8AC88A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78BF1-3A68-4EB1-8B8E-F7F18D191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5B872-D8DA-4052-873B-4A6FBB4E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2538</Words>
  <Characters>13710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Santogal</Company>
  <LinksUpToDate>false</LinksUpToDate>
  <CharactersWithSpaces>16216</CharactersWithSpaces>
  <SharedDoc>false</SharedDoc>
  <HLinks>
    <vt:vector size="12" baseType="variant"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http://www.santogal.pt/PitStop.aspx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http://www.santogal.pt/MarcacaoOficina.aspx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echironsd</dc:creator>
  <cp:lastModifiedBy>ABraga</cp:lastModifiedBy>
  <cp:revision>2</cp:revision>
  <cp:lastPrinted>2016-10-10T11:01:00Z</cp:lastPrinted>
  <dcterms:created xsi:type="dcterms:W3CDTF">2016-10-10T11:01:00Z</dcterms:created>
  <dcterms:modified xsi:type="dcterms:W3CDTF">2016-10-10T11:01:00Z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0x0101007C5EF8F83FE99F4EB82328850DCF1BF1</vt:lpwstr>
  </property>
</Properties>
</file>